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9"/>
        <w:gridCol w:w="4410"/>
        <w:gridCol w:w="4232"/>
      </w:tblGrid>
      <w:tr w:rsidR="00BC0E7C" w14:paraId="0EDCD403" w14:textId="77777777">
        <w:trPr>
          <w:trHeight w:val="4035"/>
        </w:trPr>
        <w:tc>
          <w:tcPr>
            <w:tcW w:w="9561" w:type="dxa"/>
            <w:gridSpan w:val="3"/>
          </w:tcPr>
          <w:p w14:paraId="0EDCD3FA" w14:textId="77777777" w:rsidR="00BC0E7C" w:rsidRDefault="000E659F">
            <w:pPr>
              <w:pStyle w:val="TableParagraph"/>
              <w:spacing w:before="109"/>
              <w:ind w:left="522" w:right="516"/>
              <w:jc w:val="center"/>
              <w:rPr>
                <w:rFonts w:ascii="Arial Black"/>
                <w:i/>
                <w:sz w:val="23"/>
              </w:rPr>
            </w:pPr>
            <w:r>
              <w:rPr>
                <w:rFonts w:ascii="Arial Black"/>
                <w:i/>
                <w:sz w:val="23"/>
              </w:rPr>
              <w:t>COMMUNITY-WIDE GERIATRIC MEDICINE GRAND ROUNDS</w:t>
            </w:r>
          </w:p>
          <w:p w14:paraId="0EDCD3FB" w14:textId="77777777" w:rsidR="00BC0E7C" w:rsidRDefault="000E659F">
            <w:pPr>
              <w:pStyle w:val="TableParagraph"/>
              <w:spacing w:before="246" w:line="252" w:lineRule="exact"/>
              <w:ind w:left="523" w:right="515"/>
              <w:jc w:val="center"/>
              <w:rPr>
                <w:b/>
              </w:rPr>
            </w:pPr>
            <w:r>
              <w:rPr>
                <w:b/>
              </w:rPr>
              <w:t>SPONSORED BY</w:t>
            </w:r>
          </w:p>
          <w:p w14:paraId="0EDCD3FC" w14:textId="77777777" w:rsidR="00BC0E7C" w:rsidRDefault="000E659F">
            <w:pPr>
              <w:pStyle w:val="TableParagraph"/>
              <w:ind w:left="523" w:right="516"/>
              <w:jc w:val="center"/>
              <w:rPr>
                <w:b/>
              </w:rPr>
            </w:pPr>
            <w:r>
              <w:rPr>
                <w:b/>
              </w:rPr>
              <w:t>THE FINGER LAKES GERIATRIC EDUCATION CENTER OF UPSTATE NEW YORK AT THE UNIVERSITY OF ROCHESTER, DEPARTMENT OF MEDICINE</w:t>
            </w:r>
          </w:p>
          <w:p w14:paraId="0EDCD3FD" w14:textId="77777777" w:rsidR="00BC0E7C" w:rsidRDefault="00BC0E7C">
            <w:pPr>
              <w:pStyle w:val="TableParagraph"/>
              <w:spacing w:before="10"/>
              <w:ind w:left="0"/>
              <w:rPr>
                <w:rFonts w:ascii="Times New Roman"/>
                <w:sz w:val="21"/>
              </w:rPr>
            </w:pPr>
          </w:p>
          <w:p w14:paraId="0EDCD3FE" w14:textId="77777777" w:rsidR="00BC0E7C" w:rsidRDefault="000E659F">
            <w:pPr>
              <w:pStyle w:val="TableParagraph"/>
              <w:ind w:left="523" w:right="516"/>
              <w:jc w:val="center"/>
              <w:rPr>
                <w:b/>
              </w:rPr>
            </w:pPr>
            <w:r>
              <w:rPr>
                <w:b/>
                <w:u w:val="thick"/>
              </w:rPr>
              <w:t>January / February 2023</w:t>
            </w:r>
          </w:p>
          <w:p w14:paraId="0EDCD3FF" w14:textId="77777777" w:rsidR="00BC0E7C" w:rsidRDefault="00BC0E7C">
            <w:pPr>
              <w:pStyle w:val="TableParagraph"/>
              <w:spacing w:before="1"/>
              <w:ind w:left="0"/>
              <w:rPr>
                <w:rFonts w:ascii="Times New Roman"/>
              </w:rPr>
            </w:pPr>
          </w:p>
          <w:p w14:paraId="0EDCD400" w14:textId="77777777" w:rsidR="00BC0E7C" w:rsidRDefault="000E659F">
            <w:pPr>
              <w:pStyle w:val="TableParagraph"/>
              <w:ind w:left="1924" w:right="1912"/>
              <w:jc w:val="center"/>
              <w:rPr>
                <w:b/>
              </w:rPr>
            </w:pPr>
            <w:r>
              <w:rPr>
                <w:b/>
              </w:rPr>
              <w:t>All Grand Rounds will be presented virtually via ZOOM TIME: 8:00 am – 9:00 am</w:t>
            </w:r>
          </w:p>
          <w:p w14:paraId="0EDCD401" w14:textId="77777777" w:rsidR="00BC0E7C" w:rsidRDefault="00BC0E7C">
            <w:pPr>
              <w:pStyle w:val="TableParagraph"/>
              <w:spacing w:before="1"/>
              <w:ind w:left="0"/>
              <w:rPr>
                <w:rFonts w:ascii="Times New Roman"/>
              </w:rPr>
            </w:pPr>
          </w:p>
          <w:p w14:paraId="0EDCD402" w14:textId="77777777" w:rsidR="00BC0E7C" w:rsidRDefault="000E659F">
            <w:pPr>
              <w:pStyle w:val="TableParagraph"/>
              <w:spacing w:before="1" w:line="242" w:lineRule="auto"/>
              <w:ind w:left="630" w:right="624" w:firstLine="5"/>
              <w:jc w:val="center"/>
              <w:rPr>
                <w:rFonts w:ascii="Calibri"/>
                <w:sz w:val="24"/>
              </w:rPr>
            </w:pPr>
            <w:r>
              <w:rPr>
                <w:b/>
              </w:rPr>
              <w:t xml:space="preserve">ZOOM Link:                      </w:t>
            </w:r>
            <w:r>
              <w:rPr>
                <w:b/>
              </w:rPr>
              <w:t xml:space="preserve">                </w:t>
            </w:r>
            <w:hyperlink r:id="rId4">
              <w:r>
                <w:rPr>
                  <w:rFonts w:ascii="Times New Roman"/>
                  <w:color w:val="0000FF"/>
                  <w:sz w:val="24"/>
                  <w:u w:val="single" w:color="0000FF"/>
                </w:rPr>
                <w:t>https://urmc.zoom.us/j/528317853?pwd=bDNEc0xJZXBxeTRIa0pSQldNMkhRQT09</w:t>
              </w:r>
            </w:hyperlink>
            <w:r>
              <w:rPr>
                <w:rFonts w:ascii="Times New Roman"/>
                <w:color w:val="0000FF"/>
                <w:sz w:val="24"/>
              </w:rPr>
              <w:t xml:space="preserve"> </w:t>
            </w:r>
            <w:r>
              <w:rPr>
                <w:rFonts w:ascii="Calibri"/>
                <w:sz w:val="24"/>
                <w:u w:val="single"/>
              </w:rPr>
              <w:t>Password: 003046</w:t>
            </w:r>
          </w:p>
        </w:tc>
      </w:tr>
      <w:tr w:rsidR="00BC0E7C" w14:paraId="0EDCD407" w14:textId="77777777">
        <w:trPr>
          <w:trHeight w:val="530"/>
        </w:trPr>
        <w:tc>
          <w:tcPr>
            <w:tcW w:w="919" w:type="dxa"/>
          </w:tcPr>
          <w:p w14:paraId="0EDCD404" w14:textId="77777777" w:rsidR="00BC0E7C" w:rsidRDefault="000E659F">
            <w:pPr>
              <w:pStyle w:val="TableParagraph"/>
              <w:spacing w:before="117"/>
              <w:rPr>
                <w:b/>
                <w:sz w:val="20"/>
              </w:rPr>
            </w:pPr>
            <w:r>
              <w:rPr>
                <w:b/>
                <w:sz w:val="20"/>
              </w:rPr>
              <w:t>Jan 4</w:t>
            </w:r>
          </w:p>
        </w:tc>
        <w:tc>
          <w:tcPr>
            <w:tcW w:w="4410" w:type="dxa"/>
          </w:tcPr>
          <w:p w14:paraId="0EDCD405" w14:textId="77777777" w:rsidR="00BC0E7C" w:rsidRDefault="000E659F">
            <w:pPr>
              <w:pStyle w:val="TableParagraph"/>
              <w:spacing w:before="119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NO GRAND ROUNDS</w:t>
            </w:r>
          </w:p>
        </w:tc>
        <w:tc>
          <w:tcPr>
            <w:tcW w:w="4232" w:type="dxa"/>
          </w:tcPr>
          <w:p w14:paraId="0EDCD406" w14:textId="77777777" w:rsidR="00BC0E7C" w:rsidRDefault="00BC0E7C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BC0E7C" w14:paraId="0EDCD40E" w14:textId="77777777">
        <w:trPr>
          <w:trHeight w:val="2320"/>
        </w:trPr>
        <w:tc>
          <w:tcPr>
            <w:tcW w:w="919" w:type="dxa"/>
          </w:tcPr>
          <w:p w14:paraId="0EDCD408" w14:textId="77777777" w:rsidR="00BC0E7C" w:rsidRDefault="000E659F">
            <w:pPr>
              <w:pStyle w:val="TableParagraph"/>
              <w:spacing w:before="119"/>
              <w:rPr>
                <w:b/>
                <w:sz w:val="20"/>
              </w:rPr>
            </w:pPr>
            <w:r>
              <w:rPr>
                <w:b/>
                <w:sz w:val="20"/>
              </w:rPr>
              <w:t>Jan 11</w:t>
            </w:r>
          </w:p>
        </w:tc>
        <w:tc>
          <w:tcPr>
            <w:tcW w:w="4410" w:type="dxa"/>
          </w:tcPr>
          <w:p w14:paraId="0EDCD409" w14:textId="77777777" w:rsidR="00BC0E7C" w:rsidRDefault="000E659F">
            <w:pPr>
              <w:pStyle w:val="TableParagraph"/>
              <w:spacing w:before="117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How to Leverage Medical Directors to Improve Quality</w:t>
            </w:r>
          </w:p>
        </w:tc>
        <w:tc>
          <w:tcPr>
            <w:tcW w:w="4232" w:type="dxa"/>
          </w:tcPr>
          <w:p w14:paraId="0EDCD40A" w14:textId="77777777" w:rsidR="00BC0E7C" w:rsidRDefault="000E659F">
            <w:pPr>
              <w:pStyle w:val="TableParagraph"/>
              <w:spacing w:before="117"/>
              <w:ind w:right="247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Dallas Nelson, MD; Associate Professor; Medical Director; UR Medicine Geriatrics Group</w:t>
            </w:r>
          </w:p>
          <w:p w14:paraId="0EDCD40B" w14:textId="77777777" w:rsidR="00BC0E7C" w:rsidRDefault="000E659F">
            <w:pPr>
              <w:pStyle w:val="TableParagraph"/>
              <w:spacing w:before="121"/>
              <w:ind w:right="761"/>
              <w:rPr>
                <w:b/>
                <w:sz w:val="20"/>
              </w:rPr>
            </w:pPr>
            <w:r>
              <w:rPr>
                <w:b/>
                <w:sz w:val="20"/>
              </w:rPr>
              <w:t>Kim Danzig, RN, Regional Director; Hurlbut Care Communities</w:t>
            </w:r>
          </w:p>
          <w:p w14:paraId="0EDCD40C" w14:textId="77777777" w:rsidR="00BC0E7C" w:rsidRDefault="000E659F">
            <w:pPr>
              <w:pStyle w:val="TableParagraph"/>
              <w:spacing w:before="121" w:line="229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Nicole Halsey, RN;</w:t>
            </w:r>
          </w:p>
          <w:p w14:paraId="0EDCD40D" w14:textId="77777777" w:rsidR="00BC0E7C" w:rsidRDefault="000E659F">
            <w:pPr>
              <w:pStyle w:val="TableParagraph"/>
              <w:ind w:right="56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Corporate Clinical Leadership Nurse; </w:t>
            </w:r>
            <w:r>
              <w:rPr>
                <w:b/>
                <w:sz w:val="20"/>
              </w:rPr>
              <w:t>Hurlbut Care Communities</w:t>
            </w:r>
          </w:p>
        </w:tc>
      </w:tr>
      <w:tr w:rsidR="00BC0E7C" w14:paraId="0EDCD413" w14:textId="77777777">
        <w:trPr>
          <w:trHeight w:val="1389"/>
        </w:trPr>
        <w:tc>
          <w:tcPr>
            <w:tcW w:w="919" w:type="dxa"/>
          </w:tcPr>
          <w:p w14:paraId="0EDCD40F" w14:textId="77777777" w:rsidR="00BC0E7C" w:rsidRDefault="000E659F">
            <w:pPr>
              <w:pStyle w:val="TableParagraph"/>
              <w:spacing w:before="117"/>
              <w:rPr>
                <w:b/>
                <w:sz w:val="20"/>
              </w:rPr>
            </w:pPr>
            <w:r>
              <w:rPr>
                <w:b/>
                <w:sz w:val="20"/>
              </w:rPr>
              <w:t>Jan 18</w:t>
            </w:r>
          </w:p>
        </w:tc>
        <w:tc>
          <w:tcPr>
            <w:tcW w:w="4410" w:type="dxa"/>
          </w:tcPr>
          <w:p w14:paraId="0EDCD410" w14:textId="77777777" w:rsidR="00BC0E7C" w:rsidRDefault="000E659F">
            <w:pPr>
              <w:pStyle w:val="TableParagraph"/>
              <w:spacing w:before="117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Understanding the Latest in the Science of Successful Brain Aging</w:t>
            </w:r>
          </w:p>
        </w:tc>
        <w:tc>
          <w:tcPr>
            <w:tcW w:w="4232" w:type="dxa"/>
          </w:tcPr>
          <w:p w14:paraId="0EDCD411" w14:textId="77777777" w:rsidR="00BC0E7C" w:rsidRDefault="000E659F">
            <w:pPr>
              <w:pStyle w:val="TableParagraph"/>
              <w:spacing w:before="117"/>
              <w:ind w:right="605"/>
              <w:rPr>
                <w:b/>
                <w:sz w:val="20"/>
              </w:rPr>
            </w:pPr>
            <w:r>
              <w:rPr>
                <w:b/>
                <w:sz w:val="20"/>
              </w:rPr>
              <w:t>Maureen O’Connor, Psy.D, ABPP-CN Director Neuropsychology, Bedford Veterans Hospital</w:t>
            </w:r>
          </w:p>
          <w:p w14:paraId="0EDCD412" w14:textId="77777777" w:rsidR="00BC0E7C" w:rsidRDefault="000E659F">
            <w:pPr>
              <w:pStyle w:val="TableParagraph"/>
              <w:spacing w:before="1"/>
              <w:ind w:right="391"/>
              <w:rPr>
                <w:b/>
                <w:sz w:val="20"/>
              </w:rPr>
            </w:pPr>
            <w:r>
              <w:rPr>
                <w:b/>
                <w:sz w:val="20"/>
              </w:rPr>
              <w:t>Assistant Professor of Neurology Boston University School of Medicine</w:t>
            </w:r>
          </w:p>
        </w:tc>
      </w:tr>
      <w:tr w:rsidR="00BC0E7C" w14:paraId="0EDCD417" w14:textId="77777777">
        <w:trPr>
          <w:trHeight w:val="594"/>
        </w:trPr>
        <w:tc>
          <w:tcPr>
            <w:tcW w:w="919" w:type="dxa"/>
          </w:tcPr>
          <w:p w14:paraId="0EDCD414" w14:textId="77777777" w:rsidR="00BC0E7C" w:rsidRDefault="000E659F">
            <w:pPr>
              <w:pStyle w:val="TableParagraph"/>
              <w:spacing w:before="117"/>
              <w:rPr>
                <w:b/>
                <w:sz w:val="20"/>
              </w:rPr>
            </w:pPr>
            <w:r>
              <w:rPr>
                <w:b/>
                <w:sz w:val="20"/>
              </w:rPr>
              <w:t>Jan 25</w:t>
            </w:r>
          </w:p>
        </w:tc>
        <w:tc>
          <w:tcPr>
            <w:tcW w:w="4410" w:type="dxa"/>
          </w:tcPr>
          <w:p w14:paraId="0EDCD415" w14:textId="77777777" w:rsidR="00BC0E7C" w:rsidRDefault="000E659F">
            <w:pPr>
              <w:pStyle w:val="TableParagraph"/>
              <w:spacing w:before="117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NO GRAND ROUNDS</w:t>
            </w:r>
          </w:p>
        </w:tc>
        <w:tc>
          <w:tcPr>
            <w:tcW w:w="4232" w:type="dxa"/>
          </w:tcPr>
          <w:p w14:paraId="0EDCD416" w14:textId="77777777" w:rsidR="00BC0E7C" w:rsidRDefault="00BC0E7C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BC0E7C" w14:paraId="0EDCD41D" w14:textId="77777777">
        <w:trPr>
          <w:trHeight w:val="928"/>
        </w:trPr>
        <w:tc>
          <w:tcPr>
            <w:tcW w:w="919" w:type="dxa"/>
          </w:tcPr>
          <w:p w14:paraId="0EDCD418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19" w14:textId="77777777" w:rsidR="00BC0E7C" w:rsidRDefault="000E659F">
            <w:pPr>
              <w:pStyle w:val="TableParagraph"/>
              <w:spacing w:before="154"/>
              <w:rPr>
                <w:b/>
                <w:sz w:val="20"/>
              </w:rPr>
            </w:pPr>
            <w:r>
              <w:rPr>
                <w:b/>
                <w:sz w:val="20"/>
              </w:rPr>
              <w:t>Feb 1</w:t>
            </w:r>
          </w:p>
        </w:tc>
        <w:tc>
          <w:tcPr>
            <w:tcW w:w="4410" w:type="dxa"/>
          </w:tcPr>
          <w:p w14:paraId="0EDCD41A" w14:textId="77777777" w:rsidR="00BC0E7C" w:rsidRDefault="00BC0E7C">
            <w:pPr>
              <w:pStyle w:val="TableParagraph"/>
              <w:spacing w:before="4"/>
              <w:ind w:left="0"/>
              <w:rPr>
                <w:rFonts w:ascii="Times New Roman"/>
                <w:sz w:val="25"/>
              </w:rPr>
            </w:pPr>
          </w:p>
          <w:p w14:paraId="0EDCD41B" w14:textId="77777777" w:rsidR="00BC0E7C" w:rsidRDefault="000E659F">
            <w:pPr>
              <w:pStyle w:val="TableParagraph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LGBTQ+ Aging: Empowering Narrative and Promoting Resilience</w:t>
            </w:r>
          </w:p>
        </w:tc>
        <w:tc>
          <w:tcPr>
            <w:tcW w:w="4232" w:type="dxa"/>
          </w:tcPr>
          <w:p w14:paraId="0EDCD41C" w14:textId="77777777" w:rsidR="00BC0E7C" w:rsidRDefault="000E659F">
            <w:pPr>
              <w:pStyle w:val="TableParagraph"/>
              <w:spacing w:before="117"/>
              <w:ind w:right="2561"/>
              <w:rPr>
                <w:b/>
                <w:sz w:val="20"/>
              </w:rPr>
            </w:pPr>
            <w:r>
              <w:rPr>
                <w:b/>
                <w:sz w:val="20"/>
              </w:rPr>
              <w:t>Allison Ogawa Medical Student URSMD</w:t>
            </w:r>
          </w:p>
        </w:tc>
      </w:tr>
      <w:tr w:rsidR="00BC0E7C" w14:paraId="0EDCD424" w14:textId="77777777">
        <w:trPr>
          <w:trHeight w:val="1161"/>
        </w:trPr>
        <w:tc>
          <w:tcPr>
            <w:tcW w:w="919" w:type="dxa"/>
          </w:tcPr>
          <w:p w14:paraId="0EDCD41E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1F" w14:textId="77777777" w:rsidR="00BC0E7C" w:rsidRDefault="00BC0E7C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0EDCD420" w14:textId="77777777" w:rsidR="00BC0E7C" w:rsidRDefault="000E659F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Feb 8</w:t>
            </w:r>
          </w:p>
        </w:tc>
        <w:tc>
          <w:tcPr>
            <w:tcW w:w="4410" w:type="dxa"/>
          </w:tcPr>
          <w:p w14:paraId="0EDCD421" w14:textId="77777777" w:rsidR="00BC0E7C" w:rsidRDefault="000E659F">
            <w:pPr>
              <w:pStyle w:val="TableParagraph"/>
              <w:spacing w:before="117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Frailty and resilience: 2 sides of a coin or different constructs completely? A discussion and a Lifestyle Medicine approach.</w:t>
            </w:r>
          </w:p>
        </w:tc>
        <w:tc>
          <w:tcPr>
            <w:tcW w:w="4232" w:type="dxa"/>
          </w:tcPr>
          <w:p w14:paraId="0EDCD422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23" w14:textId="77777777" w:rsidR="00BC0E7C" w:rsidRDefault="000E659F">
            <w:pPr>
              <w:pStyle w:val="TableParagraph"/>
              <w:spacing w:before="150"/>
              <w:rPr>
                <w:b/>
                <w:sz w:val="20"/>
              </w:rPr>
            </w:pPr>
            <w:r>
              <w:rPr>
                <w:b/>
                <w:sz w:val="20"/>
              </w:rPr>
              <w:t>Susan Friedman, MD</w:t>
            </w:r>
          </w:p>
        </w:tc>
      </w:tr>
      <w:tr w:rsidR="00BC0E7C" w14:paraId="0EDCD42D" w14:textId="77777777">
        <w:trPr>
          <w:trHeight w:val="1389"/>
        </w:trPr>
        <w:tc>
          <w:tcPr>
            <w:tcW w:w="919" w:type="dxa"/>
          </w:tcPr>
          <w:p w14:paraId="0EDCD425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26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27" w14:textId="77777777" w:rsidR="00BC0E7C" w:rsidRDefault="000E659F">
            <w:pPr>
              <w:pStyle w:val="TableParagraph"/>
              <w:spacing w:before="129"/>
              <w:rPr>
                <w:b/>
                <w:sz w:val="20"/>
              </w:rPr>
            </w:pPr>
            <w:r>
              <w:rPr>
                <w:b/>
                <w:sz w:val="20"/>
              </w:rPr>
              <w:t>Feb 15</w:t>
            </w:r>
          </w:p>
        </w:tc>
        <w:tc>
          <w:tcPr>
            <w:tcW w:w="4410" w:type="dxa"/>
          </w:tcPr>
          <w:p w14:paraId="0EDCD428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29" w14:textId="77777777" w:rsidR="00BC0E7C" w:rsidRDefault="00BC0E7C">
            <w:pPr>
              <w:pStyle w:val="TableParagraph"/>
              <w:spacing w:before="2"/>
              <w:ind w:left="0"/>
              <w:rPr>
                <w:rFonts w:ascii="Times New Roman"/>
                <w:sz w:val="18"/>
              </w:rPr>
            </w:pPr>
          </w:p>
          <w:p w14:paraId="0EDCD42A" w14:textId="77777777" w:rsidR="00BC0E7C" w:rsidRDefault="000E659F">
            <w:pPr>
              <w:pStyle w:val="TableParagraph"/>
              <w:ind w:left="105" w:right="796"/>
              <w:rPr>
                <w:b/>
                <w:sz w:val="20"/>
              </w:rPr>
            </w:pPr>
            <w:r>
              <w:rPr>
                <w:b/>
                <w:sz w:val="20"/>
              </w:rPr>
              <w:t>Nursing Homes and COVID-19: What Happened and Lessons Learned</w:t>
            </w:r>
          </w:p>
        </w:tc>
        <w:tc>
          <w:tcPr>
            <w:tcW w:w="4232" w:type="dxa"/>
          </w:tcPr>
          <w:p w14:paraId="0EDCD42B" w14:textId="77777777" w:rsidR="00BC0E7C" w:rsidRDefault="000E659F">
            <w:pPr>
              <w:pStyle w:val="TableParagraph"/>
              <w:spacing w:before="117"/>
              <w:ind w:right="391"/>
              <w:rPr>
                <w:b/>
                <w:sz w:val="20"/>
              </w:rPr>
            </w:pPr>
            <w:r>
              <w:rPr>
                <w:b/>
                <w:sz w:val="20"/>
              </w:rPr>
              <w:t>Michael L. Barnett, M.D., M.S. Associate Professor, Health Policy and Management</w:t>
            </w:r>
          </w:p>
          <w:p w14:paraId="0EDCD42C" w14:textId="77777777" w:rsidR="00BC0E7C" w:rsidRDefault="000E659F">
            <w:pPr>
              <w:pStyle w:val="TableParagraph"/>
              <w:ind w:right="560"/>
              <w:rPr>
                <w:b/>
                <w:sz w:val="20"/>
              </w:rPr>
            </w:pPr>
            <w:r>
              <w:rPr>
                <w:b/>
                <w:sz w:val="20"/>
              </w:rPr>
              <w:t>Harvard T. H. Chan School of Public Health</w:t>
            </w:r>
          </w:p>
        </w:tc>
      </w:tr>
    </w:tbl>
    <w:p w14:paraId="0EDCD42E" w14:textId="77777777" w:rsidR="00BC0E7C" w:rsidRDefault="00BC0E7C">
      <w:pPr>
        <w:rPr>
          <w:sz w:val="20"/>
        </w:rPr>
        <w:sectPr w:rsidR="00BC0E7C">
          <w:type w:val="continuous"/>
          <w:pgSz w:w="12240" w:h="15840"/>
          <w:pgMar w:top="1440" w:right="860" w:bottom="280" w:left="1440" w:header="720" w:footer="720" w:gutter="0"/>
          <w:cols w:space="720"/>
        </w:sectPr>
      </w:pPr>
    </w:p>
    <w:tbl>
      <w:tblPr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9"/>
        <w:gridCol w:w="4410"/>
        <w:gridCol w:w="4232"/>
      </w:tblGrid>
      <w:tr w:rsidR="00BC0E7C" w14:paraId="0EDCD437" w14:textId="77777777">
        <w:trPr>
          <w:trHeight w:val="1161"/>
        </w:trPr>
        <w:tc>
          <w:tcPr>
            <w:tcW w:w="919" w:type="dxa"/>
          </w:tcPr>
          <w:p w14:paraId="0EDCD42F" w14:textId="77777777" w:rsidR="00BC0E7C" w:rsidRDefault="00BC0E7C">
            <w:pPr>
              <w:pStyle w:val="TableParagraph"/>
              <w:ind w:left="0"/>
              <w:rPr>
                <w:rFonts w:ascii="Times New Roman"/>
              </w:rPr>
            </w:pPr>
          </w:p>
          <w:p w14:paraId="0EDCD430" w14:textId="77777777" w:rsidR="00BC0E7C" w:rsidRDefault="00BC0E7C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0EDCD431" w14:textId="77777777" w:rsidR="00BC0E7C" w:rsidRDefault="000E659F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Feb 22</w:t>
            </w:r>
          </w:p>
        </w:tc>
        <w:tc>
          <w:tcPr>
            <w:tcW w:w="4410" w:type="dxa"/>
          </w:tcPr>
          <w:p w14:paraId="0EDCD432" w14:textId="77777777" w:rsidR="00BC0E7C" w:rsidRDefault="00BC0E7C">
            <w:pPr>
              <w:pStyle w:val="TableParagraph"/>
              <w:spacing w:before="2"/>
              <w:ind w:left="0"/>
              <w:rPr>
                <w:rFonts w:ascii="Times New Roman"/>
                <w:sz w:val="30"/>
              </w:rPr>
            </w:pPr>
          </w:p>
          <w:p w14:paraId="0EDCD433" w14:textId="77777777" w:rsidR="00BC0E7C" w:rsidRDefault="000E659F">
            <w:pPr>
              <w:pStyle w:val="TableParagraph"/>
              <w:spacing w:before="1"/>
              <w:ind w:left="105" w:right="337"/>
              <w:rPr>
                <w:b/>
                <w:sz w:val="20"/>
              </w:rPr>
            </w:pPr>
            <w:r>
              <w:rPr>
                <w:b/>
                <w:sz w:val="20"/>
              </w:rPr>
              <w:t>Approaching Dementia form Left Field: A 20-Year Reflection</w:t>
            </w:r>
          </w:p>
        </w:tc>
        <w:tc>
          <w:tcPr>
            <w:tcW w:w="4232" w:type="dxa"/>
          </w:tcPr>
          <w:p w14:paraId="0EDCD434" w14:textId="77777777" w:rsidR="00BC0E7C" w:rsidRDefault="000E659F">
            <w:pPr>
              <w:pStyle w:val="TableParagraph"/>
              <w:spacing w:before="117"/>
              <w:rPr>
                <w:b/>
                <w:sz w:val="20"/>
              </w:rPr>
            </w:pPr>
            <w:r>
              <w:rPr>
                <w:b/>
                <w:sz w:val="20"/>
              </w:rPr>
              <w:t>G. Allen Power, MD, FACP</w:t>
            </w:r>
          </w:p>
          <w:p w14:paraId="0EDCD435" w14:textId="77777777" w:rsidR="00BC0E7C" w:rsidRDefault="000E659F">
            <w:pPr>
              <w:pStyle w:val="TableParagraph"/>
              <w:spacing w:before="1"/>
              <w:ind w:right="694"/>
              <w:rPr>
                <w:b/>
                <w:sz w:val="20"/>
              </w:rPr>
            </w:pPr>
            <w:r>
              <w:rPr>
                <w:b/>
                <w:sz w:val="20"/>
              </w:rPr>
              <w:t>Schlegel Chair in Aging &amp; Dementia Innovation</w:t>
            </w:r>
          </w:p>
          <w:p w14:paraId="0EDCD436" w14:textId="77777777" w:rsidR="00BC0E7C" w:rsidRDefault="000E659F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Schlegel-UW Research Institute for Aging</w:t>
            </w:r>
          </w:p>
        </w:tc>
      </w:tr>
    </w:tbl>
    <w:p w14:paraId="0EDCD438" w14:textId="77777777" w:rsidR="00BC0E7C" w:rsidRDefault="00BC0E7C">
      <w:pPr>
        <w:pStyle w:val="BodyText"/>
        <w:spacing w:before="9"/>
        <w:rPr>
          <w:rFonts w:ascii="Times New Roman"/>
          <w:b w:val="0"/>
          <w:sz w:val="15"/>
        </w:rPr>
      </w:pPr>
    </w:p>
    <w:p w14:paraId="0EDCD439" w14:textId="77777777" w:rsidR="00BC0E7C" w:rsidRDefault="000E659F">
      <w:pPr>
        <w:pStyle w:val="BodyText"/>
        <w:spacing w:before="92"/>
        <w:ind w:left="596" w:right="1180"/>
        <w:jc w:val="center"/>
      </w:pPr>
      <w:r>
        <w:t>ALL ARE INVITED TO ATTEND; REGISTRATION IS NOT NECESSARY</w:t>
      </w:r>
    </w:p>
    <w:p w14:paraId="0EDCD43A" w14:textId="77777777" w:rsidR="00BC0E7C" w:rsidRDefault="000E659F">
      <w:pPr>
        <w:pStyle w:val="BodyText"/>
        <w:spacing w:line="480" w:lineRule="auto"/>
        <w:ind w:left="945" w:right="1519" w:hanging="11"/>
        <w:jc w:val="center"/>
      </w:pPr>
      <w:r>
        <w:t>This activity has been approved for AMA PRA Category 1 Credit. ANY QUESTIONS, CONTACT JUDY HAZELDEN AT (585) 760-6352</w:t>
      </w:r>
    </w:p>
    <w:p w14:paraId="0EDCD43B" w14:textId="77777777" w:rsidR="00BC0E7C" w:rsidRDefault="000E659F">
      <w:pPr>
        <w:pStyle w:val="BodyText"/>
        <w:ind w:left="106" w:right="1041" w:firstLine="3226"/>
      </w:pPr>
      <w:r>
        <w:t>Visit our web site at: https://</w:t>
      </w:r>
      <w:hyperlink r:id="rId5">
        <w:r>
          <w:t>www.urmc.rochester.edu/medicine/geriatrics/flgec/grand-rounds.aspx</w:t>
        </w:r>
      </w:hyperlink>
    </w:p>
    <w:p w14:paraId="0EDCD43C" w14:textId="77777777" w:rsidR="00BC0E7C" w:rsidRDefault="00BC0E7C">
      <w:pPr>
        <w:pStyle w:val="BodyText"/>
        <w:spacing w:before="1"/>
      </w:pPr>
    </w:p>
    <w:p w14:paraId="0EDCD43D" w14:textId="77777777" w:rsidR="00BC0E7C" w:rsidRDefault="000E659F">
      <w:pPr>
        <w:pStyle w:val="BodyText"/>
        <w:ind w:left="598" w:right="1180"/>
        <w:jc w:val="center"/>
        <w:rPr>
          <w:sz w:val="22"/>
        </w:rPr>
      </w:pPr>
      <w:r>
        <w:t xml:space="preserve">To request a copy of your transcript, contact the Center for Experiential Learning office at: </w:t>
      </w:r>
      <w:hyperlink r:id="rId6">
        <w:r>
          <w:rPr>
            <w:color w:val="0000FF"/>
            <w:sz w:val="22"/>
            <w:u w:val="thick" w:color="0000FF"/>
          </w:rPr>
          <w:t>cel.urmc.edu</w:t>
        </w:r>
      </w:hyperlink>
    </w:p>
    <w:sectPr w:rsidR="00BC0E7C">
      <w:pgSz w:w="12240" w:h="15840"/>
      <w:pgMar w:top="1440" w:right="86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0E7C"/>
    <w:rsid w:val="000E659F"/>
    <w:rsid w:val="00BC0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DCD3FA"/>
  <w15:docId w15:val="{B62FC38F-7085-465D-89F8-931D6B80D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MEoffice@urmc.rochester.edu" TargetMode="External"/><Relationship Id="rId5" Type="http://schemas.openxmlformats.org/officeDocument/2006/relationships/hyperlink" Target="http://www.urmc.rochester.edu/medicine/geriatrics/flgec/grand-rounds.aspx" TargetMode="External"/><Relationship Id="rId4" Type="http://schemas.openxmlformats.org/officeDocument/2006/relationships/hyperlink" Target="https://urmc.zoom.us/j/528317853?pwd=bDNEc0xJZXBxeTRIa0pSQldNMkhRQ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COMMUNITY-WIDE GERIATRIC MEDICINE GRAND ROUNDS</dc:title>
  <dc:creator>Judy Hazelden</dc:creator>
  <cp:lastModifiedBy>Doris Green</cp:lastModifiedBy>
  <cp:revision>2</cp:revision>
  <dcterms:created xsi:type="dcterms:W3CDTF">2022-12-29T21:08:00Z</dcterms:created>
  <dcterms:modified xsi:type="dcterms:W3CDTF">2022-12-29T21:08:00Z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2022-12-29T00:00:00Z</vt:filetime>
  </property>
</Properties>
</file>